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479" w:rsidRPr="00D460A7" w:rsidRDefault="004D1479" w:rsidP="004D1479">
      <w:pPr>
        <w:pStyle w:val="2"/>
        <w:spacing w:before="0" w:beforeAutospacing="0" w:after="0" w:afterAutospacing="0"/>
        <w:rPr>
          <w:sz w:val="32"/>
          <w:szCs w:val="32"/>
        </w:rPr>
      </w:pPr>
      <w:r>
        <w:rPr>
          <w:sz w:val="32"/>
          <w:szCs w:val="32"/>
        </w:rPr>
        <w:t>Т</w:t>
      </w:r>
      <w:r w:rsidRPr="00D460A7">
        <w:rPr>
          <w:sz w:val="32"/>
          <w:szCs w:val="32"/>
        </w:rPr>
        <w:t>рудовые гарантии для членов семей участников СВО</w:t>
      </w:r>
    </w:p>
    <w:p w:rsidR="004D1479" w:rsidRPr="00D460A7" w:rsidRDefault="004D1479" w:rsidP="004D1479">
      <w:pPr>
        <w:pStyle w:val="a3"/>
        <w:spacing w:before="0" w:beforeAutospacing="0" w:after="0" w:afterAutospacing="0"/>
        <w:rPr>
          <w:sz w:val="32"/>
          <w:szCs w:val="32"/>
        </w:rPr>
      </w:pPr>
      <w:r w:rsidRPr="00D460A7">
        <w:rPr>
          <w:sz w:val="32"/>
          <w:szCs w:val="32"/>
        </w:rPr>
        <w:t> </w:t>
      </w:r>
      <w:r>
        <w:rPr>
          <w:sz w:val="32"/>
          <w:szCs w:val="32"/>
        </w:rPr>
        <w:t xml:space="preserve">К </w:t>
      </w:r>
      <w:r w:rsidRPr="00D460A7">
        <w:rPr>
          <w:sz w:val="32"/>
          <w:szCs w:val="32"/>
        </w:rPr>
        <w:t>членам семьи участника СВО относятся:</w:t>
      </w:r>
    </w:p>
    <w:p w:rsidR="004D1479" w:rsidRPr="00D460A7" w:rsidRDefault="004D1479" w:rsidP="004D1479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D460A7">
        <w:rPr>
          <w:rFonts w:ascii="Times New Roman" w:hAnsi="Times New Roman" w:cs="Times New Roman"/>
          <w:sz w:val="32"/>
          <w:szCs w:val="32"/>
        </w:rPr>
        <w:t>супруга (супруг);</w:t>
      </w:r>
      <w:bookmarkStart w:id="0" w:name="_GoBack"/>
      <w:bookmarkEnd w:id="0"/>
    </w:p>
    <w:p w:rsidR="004D1479" w:rsidRPr="00D460A7" w:rsidRDefault="004D1479" w:rsidP="004D1479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D460A7">
        <w:rPr>
          <w:rFonts w:ascii="Times New Roman" w:hAnsi="Times New Roman" w:cs="Times New Roman"/>
          <w:sz w:val="32"/>
          <w:szCs w:val="32"/>
        </w:rPr>
        <w:t>несовершеннолетние дети;</w:t>
      </w:r>
    </w:p>
    <w:p w:rsidR="004D1479" w:rsidRPr="00D460A7" w:rsidRDefault="004D1479" w:rsidP="004D1479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D460A7">
        <w:rPr>
          <w:rFonts w:ascii="Times New Roman" w:hAnsi="Times New Roman" w:cs="Times New Roman"/>
          <w:sz w:val="32"/>
          <w:szCs w:val="32"/>
        </w:rPr>
        <w:t>дети старше 18 лет, ставшие инвалидами до достижения ими возраста 18 лет;</w:t>
      </w:r>
    </w:p>
    <w:p w:rsidR="004D1479" w:rsidRPr="00D460A7" w:rsidRDefault="004D1479" w:rsidP="004D1479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D460A7">
        <w:rPr>
          <w:rFonts w:ascii="Times New Roman" w:hAnsi="Times New Roman" w:cs="Times New Roman"/>
          <w:sz w:val="32"/>
          <w:szCs w:val="32"/>
        </w:rPr>
        <w:t>дети в возрасте до 23 лет, обучающиеся в образовательных организациях по очной форме обучения;</w:t>
      </w:r>
    </w:p>
    <w:p w:rsidR="004D1479" w:rsidRPr="00D460A7" w:rsidRDefault="004D1479" w:rsidP="004D1479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 w:rsidRPr="00D460A7">
        <w:rPr>
          <w:rFonts w:ascii="Times New Roman" w:hAnsi="Times New Roman" w:cs="Times New Roman"/>
          <w:sz w:val="32"/>
          <w:szCs w:val="32"/>
        </w:rPr>
        <w:t>лица, находящиеся на иждивении участников СВО.</w:t>
      </w:r>
    </w:p>
    <w:p w:rsidR="004D1479" w:rsidRPr="00D460A7" w:rsidRDefault="004D1479" w:rsidP="004D1479">
      <w:pPr>
        <w:pStyle w:val="a3"/>
        <w:spacing w:before="0" w:beforeAutospacing="0" w:after="0" w:afterAutospacing="0"/>
        <w:rPr>
          <w:sz w:val="32"/>
          <w:szCs w:val="32"/>
        </w:rPr>
      </w:pPr>
    </w:p>
    <w:tbl>
      <w:tblPr>
        <w:tblW w:w="10632" w:type="dxa"/>
        <w:tblCellSpacing w:w="15" w:type="dxa"/>
        <w:tblInd w:w="-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3544"/>
        <w:gridCol w:w="3686"/>
      </w:tblGrid>
      <w:tr w:rsidR="004D1479" w:rsidRPr="004D1479" w:rsidTr="00B66718">
        <w:trPr>
          <w:tblHeader/>
          <w:tblCellSpacing w:w="15" w:type="dxa"/>
        </w:trPr>
        <w:tc>
          <w:tcPr>
            <w:tcW w:w="3357" w:type="dxa"/>
            <w:shd w:val="clear" w:color="auto" w:fill="F6F6F6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4D1479" w:rsidRPr="004D1479" w:rsidRDefault="004D1479" w:rsidP="00520A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Льгота</w:t>
            </w:r>
          </w:p>
        </w:tc>
        <w:tc>
          <w:tcPr>
            <w:tcW w:w="3514" w:type="dxa"/>
            <w:shd w:val="clear" w:color="auto" w:fill="F6F6F6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4D1479" w:rsidRPr="004D1479" w:rsidRDefault="004D1479" w:rsidP="00520A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</w:t>
            </w:r>
          </w:p>
        </w:tc>
        <w:tc>
          <w:tcPr>
            <w:tcW w:w="3641" w:type="dxa"/>
            <w:shd w:val="clear" w:color="auto" w:fill="F6F6F6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4D1479" w:rsidRPr="004D1479" w:rsidRDefault="004D1479" w:rsidP="00520A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1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Особенности применения</w:t>
            </w:r>
          </w:p>
        </w:tc>
      </w:tr>
      <w:tr w:rsidR="004D1479" w:rsidRPr="004D1479" w:rsidTr="00B66718">
        <w:trPr>
          <w:trHeight w:val="2409"/>
          <w:tblCellSpacing w:w="15" w:type="dxa"/>
        </w:trPr>
        <w:tc>
          <w:tcPr>
            <w:tcW w:w="3357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 xml:space="preserve">Запрет на увольнение </w:t>
            </w:r>
          </w:p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по инициативе работодателя </w:t>
            </w:r>
          </w:p>
        </w:tc>
        <w:tc>
          <w:tcPr>
            <w:tcW w:w="3514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Вдова (вдовец) ветерана боевых действий</w:t>
            </w:r>
          </w:p>
        </w:tc>
        <w:tc>
          <w:tcPr>
            <w:tcW w:w="3641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B66718" w:rsidP="00520AE5">
            <w:pPr>
              <w:pStyle w:val="a3"/>
              <w:spacing w:before="0" w:beforeAutospacing="0" w:after="0" w:afterAutospacing="0"/>
            </w:pPr>
            <w:hyperlink r:id="rId6" w:anchor="h9842" w:tgtFrame="_blank" w:history="1">
              <w:r w:rsidR="004D1479" w:rsidRPr="004D1479">
                <w:rPr>
                  <w:rStyle w:val="a4"/>
                  <w:rFonts w:eastAsiaTheme="majorEastAsia"/>
                  <w:color w:val="auto"/>
                </w:rPr>
                <w:t>ст. 264.1 Трудового кодекса</w:t>
              </w:r>
            </w:hyperlink>
          </w:p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Можно уволить по основаниям, предусмотренным </w:t>
            </w:r>
            <w:hyperlink r:id="rId7" w:anchor="h5145" w:tgtFrame="_blank" w:history="1">
              <w:r w:rsidRPr="004D1479">
                <w:rPr>
                  <w:rStyle w:val="a4"/>
                  <w:rFonts w:eastAsiaTheme="majorEastAsia"/>
                  <w:color w:val="auto"/>
                </w:rPr>
                <w:t>пунктами 1, 5 — 8, 10 или 11 части первой статьи 81 Т</w:t>
              </w:r>
            </w:hyperlink>
            <w:r w:rsidRPr="004D1479">
              <w:rPr>
                <w:rStyle w:val="a4"/>
                <w:rFonts w:eastAsiaTheme="majorEastAsia"/>
                <w:color w:val="auto"/>
              </w:rPr>
              <w:t>К</w:t>
            </w:r>
            <w:r w:rsidRPr="004D1479">
              <w:t> или </w:t>
            </w:r>
            <w:hyperlink r:id="rId8" w:anchor="h5910" w:tgtFrame="_blank" w:history="1">
              <w:r w:rsidRPr="004D1479">
                <w:rPr>
                  <w:rStyle w:val="a4"/>
                  <w:rFonts w:eastAsiaTheme="majorEastAsia"/>
                  <w:color w:val="auto"/>
                </w:rPr>
                <w:t>пунктом 2 статьи 336 Трудового кодекса</w:t>
              </w:r>
            </w:hyperlink>
          </w:p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Льгота действует в течение года со дня гибели супруга (супруги), если вдова (вдовец) повторно не вступили в брак</w:t>
            </w:r>
          </w:p>
        </w:tc>
      </w:tr>
      <w:tr w:rsidR="004D1479" w:rsidRPr="004D1479" w:rsidTr="00B66718">
        <w:trPr>
          <w:tblCellSpacing w:w="15" w:type="dxa"/>
        </w:trPr>
        <w:tc>
          <w:tcPr>
            <w:tcW w:w="3357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Предпочтение в оставлении на работе при равной производительности труда и квалификации при сокращении</w:t>
            </w:r>
          </w:p>
        </w:tc>
        <w:tc>
          <w:tcPr>
            <w:tcW w:w="3514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Родитель, имеющий ребенка в возрасте до 18 лет, в случае, если другой родитель — мобилизованный, контрактник или доброволец</w:t>
            </w:r>
          </w:p>
        </w:tc>
        <w:tc>
          <w:tcPr>
            <w:tcW w:w="3641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B66718" w:rsidP="004D1479">
            <w:pPr>
              <w:pStyle w:val="a3"/>
              <w:spacing w:before="0" w:beforeAutospacing="0" w:after="0" w:afterAutospacing="0"/>
            </w:pPr>
            <w:hyperlink r:id="rId9" w:anchor="h5440" w:tgtFrame="_blank" w:history="1">
              <w:r w:rsidR="004D1479" w:rsidRPr="004D1479">
                <w:rPr>
                  <w:rStyle w:val="a4"/>
                  <w:rFonts w:eastAsiaTheme="majorEastAsia"/>
                  <w:color w:val="auto"/>
                </w:rPr>
                <w:t>ст. 179 Т</w:t>
              </w:r>
            </w:hyperlink>
            <w:r w:rsidR="004D1479" w:rsidRPr="004D1479">
              <w:rPr>
                <w:rStyle w:val="a4"/>
                <w:rFonts w:eastAsiaTheme="majorEastAsia"/>
                <w:color w:val="auto"/>
              </w:rPr>
              <w:t>К РФ</w:t>
            </w:r>
          </w:p>
        </w:tc>
      </w:tr>
      <w:tr w:rsidR="004D1479" w:rsidRPr="004D1479" w:rsidTr="00B66718">
        <w:trPr>
          <w:trHeight w:val="1520"/>
          <w:tblCellSpacing w:w="15" w:type="dxa"/>
        </w:trPr>
        <w:tc>
          <w:tcPr>
            <w:tcW w:w="3357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Ограничение на привлечение к сверхурочной работе, направление в командировки, привлечение к работе в ночное время, выходные и нерабочие праздничные дни</w:t>
            </w:r>
          </w:p>
        </w:tc>
        <w:tc>
          <w:tcPr>
            <w:tcW w:w="3514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Родитель, имеющий ребенка в возрасте до 14 лет, в случае, если другой родитель — мобилизованный, контрактник или доброволец</w:t>
            </w:r>
          </w:p>
        </w:tc>
        <w:tc>
          <w:tcPr>
            <w:tcW w:w="3641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B66718" w:rsidP="004D1479">
            <w:pPr>
              <w:pStyle w:val="a3"/>
              <w:spacing w:before="0" w:beforeAutospacing="0" w:after="0" w:afterAutospacing="0"/>
            </w:pPr>
            <w:hyperlink r:id="rId10" w:anchor="h5724" w:tgtFrame="_blank" w:history="1">
              <w:r w:rsidR="004D1479" w:rsidRPr="004D1479">
                <w:rPr>
                  <w:rStyle w:val="a4"/>
                  <w:rFonts w:eastAsiaTheme="majorEastAsia"/>
                  <w:color w:val="auto"/>
                </w:rPr>
                <w:t>ст. 259 Т</w:t>
              </w:r>
            </w:hyperlink>
            <w:r w:rsidR="004D1479" w:rsidRPr="004D1479">
              <w:rPr>
                <w:rStyle w:val="a4"/>
                <w:rFonts w:eastAsiaTheme="majorEastAsia"/>
                <w:color w:val="auto"/>
              </w:rPr>
              <w:t>К Р</w:t>
            </w:r>
            <w:r w:rsidR="004D1479">
              <w:rPr>
                <w:rStyle w:val="a4"/>
                <w:rFonts w:eastAsiaTheme="majorEastAsia"/>
                <w:color w:val="auto"/>
              </w:rPr>
              <w:t>Ф</w:t>
            </w:r>
          </w:p>
        </w:tc>
      </w:tr>
      <w:tr w:rsidR="004D1479" w:rsidRPr="004D1479" w:rsidTr="00B66718">
        <w:trPr>
          <w:tblCellSpacing w:w="15" w:type="dxa"/>
        </w:trPr>
        <w:tc>
          <w:tcPr>
            <w:tcW w:w="3357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Отпуск без сохранения заработной платы до 14 дней в году</w:t>
            </w:r>
          </w:p>
        </w:tc>
        <w:tc>
          <w:tcPr>
            <w:tcW w:w="3514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Родители, супруги и дети (в т. ч. совершеннолетние) погибших или умерших вследствие увечья в боевых действиях мобилизованных, контрактников или добровольцев</w:t>
            </w:r>
          </w:p>
        </w:tc>
        <w:tc>
          <w:tcPr>
            <w:tcW w:w="3641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Default="00B66718" w:rsidP="004D1479">
            <w:pPr>
              <w:pStyle w:val="a3"/>
              <w:spacing w:before="0" w:beforeAutospacing="0" w:after="0" w:afterAutospacing="0"/>
              <w:rPr>
                <w:rStyle w:val="a4"/>
                <w:rFonts w:eastAsiaTheme="majorEastAsia"/>
                <w:color w:val="auto"/>
              </w:rPr>
            </w:pPr>
            <w:hyperlink r:id="rId11" w:anchor="h5291" w:tgtFrame="_blank" w:history="1">
              <w:r w:rsidR="004D1479" w:rsidRPr="004D1479">
                <w:rPr>
                  <w:rStyle w:val="a4"/>
                  <w:rFonts w:eastAsiaTheme="majorEastAsia"/>
                  <w:color w:val="auto"/>
                </w:rPr>
                <w:t>ст. 128 Т</w:t>
              </w:r>
            </w:hyperlink>
            <w:r w:rsidR="004D1479" w:rsidRPr="004D1479">
              <w:rPr>
                <w:rStyle w:val="a4"/>
                <w:rFonts w:eastAsiaTheme="majorEastAsia"/>
                <w:color w:val="auto"/>
              </w:rPr>
              <w:t>К РФ</w:t>
            </w:r>
          </w:p>
          <w:p w:rsidR="004D1479" w:rsidRPr="004D1479" w:rsidRDefault="004D1479" w:rsidP="004D1479">
            <w:pPr>
              <w:pStyle w:val="a3"/>
              <w:spacing w:before="0" w:beforeAutospacing="0" w:after="0" w:afterAutospacing="0"/>
            </w:pPr>
            <w:r w:rsidRPr="004D1479">
              <w:t>Отпуск предоставляют по письменному заявлению работника</w:t>
            </w:r>
          </w:p>
        </w:tc>
      </w:tr>
      <w:tr w:rsidR="004D1479" w:rsidRPr="004D1479" w:rsidTr="00B66718">
        <w:trPr>
          <w:tblCellSpacing w:w="15" w:type="dxa"/>
        </w:trPr>
        <w:tc>
          <w:tcPr>
            <w:tcW w:w="3357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Отпуск без сохранения заработной платы до 35 дней в году</w:t>
            </w:r>
          </w:p>
        </w:tc>
        <w:tc>
          <w:tcPr>
            <w:tcW w:w="3514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 xml:space="preserve">Родители, супруги и дети (в т. ч. совершеннолетние) получивших ранение, </w:t>
            </w:r>
            <w:r w:rsidRPr="004D1479">
              <w:lastRenderedPageBreak/>
              <w:t>контузию или увечье мобилизованных, контрактников, добровольцев</w:t>
            </w:r>
          </w:p>
        </w:tc>
        <w:tc>
          <w:tcPr>
            <w:tcW w:w="3641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Default="00B66718" w:rsidP="004D1479">
            <w:pPr>
              <w:pStyle w:val="a3"/>
              <w:spacing w:before="0" w:beforeAutospacing="0" w:after="0" w:afterAutospacing="0"/>
              <w:rPr>
                <w:rStyle w:val="a4"/>
                <w:rFonts w:eastAsiaTheme="majorEastAsia"/>
                <w:color w:val="auto"/>
              </w:rPr>
            </w:pPr>
            <w:hyperlink r:id="rId12" w:anchor="h5291" w:tgtFrame="_blank" w:history="1">
              <w:r w:rsidR="004D1479" w:rsidRPr="004D1479">
                <w:rPr>
                  <w:rStyle w:val="a4"/>
                  <w:rFonts w:eastAsiaTheme="majorEastAsia"/>
                  <w:color w:val="auto"/>
                </w:rPr>
                <w:t>ст. 128 Т</w:t>
              </w:r>
            </w:hyperlink>
            <w:r w:rsidR="004D1479" w:rsidRPr="004D1479">
              <w:rPr>
                <w:rStyle w:val="a4"/>
                <w:rFonts w:eastAsiaTheme="majorEastAsia"/>
                <w:color w:val="auto"/>
              </w:rPr>
              <w:t>К РФ</w:t>
            </w:r>
          </w:p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 xml:space="preserve">Отпуск носит целевой характер. Его предоставляют для ухода </w:t>
            </w:r>
            <w:r w:rsidRPr="004D1479">
              <w:lastRenderedPageBreak/>
              <w:t>за больным в соответствии с выданным мед</w:t>
            </w:r>
            <w:r>
              <w:t xml:space="preserve">ицинским </w:t>
            </w:r>
            <w:r w:rsidRPr="004D1479">
              <w:t>заключением. Также необходимо письменное заявление работника</w:t>
            </w:r>
          </w:p>
        </w:tc>
      </w:tr>
      <w:tr w:rsidR="004D1479" w:rsidRPr="004D1479" w:rsidTr="00B66718">
        <w:trPr>
          <w:tblCellSpacing w:w="15" w:type="dxa"/>
        </w:trPr>
        <w:tc>
          <w:tcPr>
            <w:tcW w:w="3357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lastRenderedPageBreak/>
              <w:t>Ежегодный отпуск одновременно с отпуском мужа (жены) </w:t>
            </w:r>
          </w:p>
        </w:tc>
        <w:tc>
          <w:tcPr>
            <w:tcW w:w="3514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Супруги военнослужащих</w:t>
            </w:r>
          </w:p>
        </w:tc>
        <w:tc>
          <w:tcPr>
            <w:tcW w:w="3641" w:type="dxa"/>
            <w:shd w:val="clear" w:color="auto" w:fill="FFFFFF"/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4D1479" w:rsidRPr="004D1479" w:rsidRDefault="00B66718" w:rsidP="00520AE5">
            <w:pPr>
              <w:pStyle w:val="a3"/>
              <w:spacing w:before="0" w:beforeAutospacing="0" w:after="0" w:afterAutospacing="0"/>
            </w:pPr>
            <w:hyperlink r:id="rId13" w:tgtFrame="_blank" w:history="1">
              <w:r w:rsidR="004D1479" w:rsidRPr="004D1479">
                <w:rPr>
                  <w:rStyle w:val="a4"/>
                  <w:rFonts w:eastAsiaTheme="majorEastAsia"/>
                  <w:color w:val="auto"/>
                </w:rPr>
                <w:t>П. 11 ст. 11 Федерального закона от 27.05.1998 № 76-ФЗ</w:t>
              </w:r>
            </w:hyperlink>
          </w:p>
          <w:p w:rsidR="004D1479" w:rsidRPr="004D1479" w:rsidRDefault="004D1479" w:rsidP="00520AE5">
            <w:pPr>
              <w:pStyle w:val="a3"/>
              <w:spacing w:before="0" w:beforeAutospacing="0" w:after="0" w:afterAutospacing="0"/>
            </w:pPr>
            <w:r w:rsidRPr="004D1479">
              <w:t>Продолжительность отпуска супругов военнослужащих может быть по их желанию равной продолжительности отпуска военнослужащих. Часть отпуска, превышающая продолжительность ежегодного отпуска по основному месту их работы, предоставляют без сохранения заработной платы</w:t>
            </w:r>
          </w:p>
        </w:tc>
      </w:tr>
    </w:tbl>
    <w:p w:rsidR="00247D21" w:rsidRPr="004D1479" w:rsidRDefault="00247D21" w:rsidP="004D1479">
      <w:pPr>
        <w:rPr>
          <w:sz w:val="24"/>
          <w:szCs w:val="24"/>
        </w:rPr>
      </w:pPr>
    </w:p>
    <w:sectPr w:rsidR="00247D21" w:rsidRPr="004D1479" w:rsidSect="00B667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2605F"/>
    <w:multiLevelType w:val="multilevel"/>
    <w:tmpl w:val="C7E6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9F1"/>
    <w:rsid w:val="00247D21"/>
    <w:rsid w:val="003B29F1"/>
    <w:rsid w:val="004D1479"/>
    <w:rsid w:val="00B66718"/>
    <w:rsid w:val="00BA5829"/>
    <w:rsid w:val="00F0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479"/>
  </w:style>
  <w:style w:type="paragraph" w:styleId="2">
    <w:name w:val="heading 2"/>
    <w:basedOn w:val="a"/>
    <w:link w:val="20"/>
    <w:uiPriority w:val="9"/>
    <w:qFormat/>
    <w:rsid w:val="004D14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7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7D2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D14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1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47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479"/>
  </w:style>
  <w:style w:type="paragraph" w:styleId="2">
    <w:name w:val="heading 2"/>
    <w:basedOn w:val="a"/>
    <w:link w:val="20"/>
    <w:uiPriority w:val="9"/>
    <w:qFormat/>
    <w:rsid w:val="004D14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7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47D2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D14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1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1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3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hashtoken=f9bd7c8be80fa20a00db84b7941cf6d5&amp;moduleId=1&amp;documentId=492610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13" Type="http://schemas.openxmlformats.org/officeDocument/2006/relationships/hyperlink" Target="https://normativ.kontur.ru/document?hashtoken=f9bd7c8be80fa20a00db84b7941cf6d5&amp;moduleId=1&amp;documentId=484702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ormativ.kontur.ru/document?hashtoken=f9bd7c8be80fa20a00db84b7941cf6d5&amp;moduleId=1&amp;documentId=492610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12" Type="http://schemas.openxmlformats.org/officeDocument/2006/relationships/hyperlink" Target="https://normativ.kontur.ru/document?hashtoken=f9bd7c8be80fa20a00db84b7941cf6d5&amp;moduleId=1&amp;documentId=492610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hashtoken=f9bd7c8be80fa20a00db84b7941cf6d5&amp;moduleId=1&amp;documentId=492610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11" Type="http://schemas.openxmlformats.org/officeDocument/2006/relationships/hyperlink" Target="https://normativ.kontur.ru/document?hashtoken=f9bd7c8be80fa20a00db84b7941cf6d5&amp;moduleId=1&amp;documentId=492610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hashtoken=f9bd7c8be80fa20a00db84b7941cf6d5&amp;moduleId=1&amp;documentId=492610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hashtoken=f9bd7c8be80fa20a00db84b7941cf6d5&amp;moduleId=1&amp;documentId=492610&amp;p=1210&amp;utm_source=yandex&amp;utm_medium=organic&amp;utm_referer=www.yandex.ru&amp;utm_startpage=www.kontur-extern.ru%2Finfo%2F25629-kak_izmenyatsya_tk_rf_i_zakony_iz_za_chastichnoj_mobilizacii&amp;utm_orderpage=www.kontur-extern.ru%2Finfo%2F25629-kak_izmenyatsya_tk_rf_i_zakony_iz_za_chastichnoj_mobilizaci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Ремнева АЮ</dc:creator>
  <cp:keywords/>
  <dc:description/>
  <cp:lastModifiedBy>ЦЗН Северского района</cp:lastModifiedBy>
  <cp:revision>4</cp:revision>
  <cp:lastPrinted>2026-09-14T11:30:00Z</cp:lastPrinted>
  <dcterms:created xsi:type="dcterms:W3CDTF">2026-03-24T10:55:00Z</dcterms:created>
  <dcterms:modified xsi:type="dcterms:W3CDTF">2026-09-14T13:26:00Z</dcterms:modified>
</cp:coreProperties>
</file>